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EF3" w:rsidRDefault="00401EF3" w:rsidP="00401EF3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Second Grade Supply List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NIV Bible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 xml:space="preserve">Pencil/supply box—hard plastic 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bookmarkStart w:id="0" w:name="_GoBack"/>
      <w:r w:rsidRPr="00D8339D">
        <w:rPr>
          <w:rFonts w:ascii="Comic Sans MS" w:eastAsia="Times New Roman" w:hAnsi="Comic Sans MS"/>
          <w:sz w:val="40"/>
          <w:szCs w:val="40"/>
        </w:rPr>
        <w:t xml:space="preserve">Two (2) 12-packs wooden #2 pencils </w:t>
      </w:r>
    </w:p>
    <w:bookmarkEnd w:id="0"/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Colored pencils (one 12 or 24 pack)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 xml:space="preserve">1 </w:t>
      </w:r>
      <w:r w:rsidRPr="00D8339D">
        <w:rPr>
          <w:rFonts w:ascii="Comic Sans MS" w:eastAsia="Times New Roman" w:hAnsi="Comic Sans MS"/>
          <w:sz w:val="40"/>
          <w:szCs w:val="40"/>
        </w:rPr>
        <w:t>handheld pencil sharpener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Four (4) erasers – rectangle, pink or white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Two (2) packs of markers (8 pack)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 xml:space="preserve">One (4 pack) dry erase markers 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Two (2) packs of 24 count crayons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Scissors (Child size)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Four (4) glue sticks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 xml:space="preserve">1 bottle liquid glue 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Two (2) plastic pocket folders with prongs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 xml:space="preserve">Three (3) marble composition books 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Three (3) boxes of tissues</w:t>
      </w:r>
    </w:p>
    <w:p w:rsidR="00D8339D" w:rsidRPr="00D8339D" w:rsidRDefault="00D8339D" w:rsidP="00D8339D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>Fabric box - 11 inches</w:t>
      </w:r>
    </w:p>
    <w:p w:rsidR="00D8339D" w:rsidRPr="00D8339D" w:rsidRDefault="00D8339D" w:rsidP="00C8263C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r w:rsidRPr="00D8339D">
        <w:rPr>
          <w:rFonts w:ascii="Comic Sans MS" w:eastAsia="Times New Roman" w:hAnsi="Comic Sans MS"/>
          <w:sz w:val="40"/>
          <w:szCs w:val="40"/>
        </w:rPr>
        <w:t xml:space="preserve">One package gallon size Ziploc bags </w:t>
      </w:r>
    </w:p>
    <w:p w:rsidR="00D8339D" w:rsidRPr="00D8339D" w:rsidRDefault="00D8339D" w:rsidP="00C8263C">
      <w:pPr>
        <w:pStyle w:val="ListParagraph"/>
        <w:numPr>
          <w:ilvl w:val="0"/>
          <w:numId w:val="2"/>
        </w:numPr>
        <w:spacing w:line="252" w:lineRule="auto"/>
        <w:ind w:left="1080"/>
        <w:rPr>
          <w:rFonts w:ascii="Comic Sans MS" w:eastAsia="Times New Roman" w:hAnsi="Comic Sans MS"/>
          <w:sz w:val="40"/>
          <w:szCs w:val="40"/>
        </w:rPr>
      </w:pPr>
      <w:proofErr w:type="gramStart"/>
      <w:r w:rsidRPr="00D8339D">
        <w:rPr>
          <w:rFonts w:ascii="Comic Sans MS" w:eastAsia="Times New Roman" w:hAnsi="Comic Sans MS"/>
          <w:sz w:val="40"/>
          <w:szCs w:val="40"/>
        </w:rPr>
        <w:t>One inch</w:t>
      </w:r>
      <w:proofErr w:type="gramEnd"/>
      <w:r w:rsidRPr="00D8339D">
        <w:rPr>
          <w:rFonts w:ascii="Comic Sans MS" w:eastAsia="Times New Roman" w:hAnsi="Comic Sans MS"/>
          <w:sz w:val="40"/>
          <w:szCs w:val="40"/>
        </w:rPr>
        <w:t xml:space="preserve"> binder, dividers </w:t>
      </w:r>
    </w:p>
    <w:p w:rsidR="00EF1BCF" w:rsidRPr="00401EF3" w:rsidRDefault="00EF1BCF" w:rsidP="00D8339D">
      <w:pPr>
        <w:pStyle w:val="ListParagraph"/>
        <w:rPr>
          <w:rFonts w:ascii="Comic Sans MS" w:hAnsi="Comic Sans MS"/>
          <w:sz w:val="40"/>
          <w:szCs w:val="40"/>
        </w:rPr>
      </w:pPr>
    </w:p>
    <w:sectPr w:rsidR="00EF1BCF" w:rsidRPr="00401EF3" w:rsidSect="00F211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B3EE8"/>
    <w:multiLevelType w:val="hybridMultilevel"/>
    <w:tmpl w:val="3B72CF80"/>
    <w:lvl w:ilvl="0" w:tplc="64B28B4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F3"/>
    <w:rsid w:val="00401EF3"/>
    <w:rsid w:val="00D8339D"/>
    <w:rsid w:val="00EF1BCF"/>
    <w:rsid w:val="00F21110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B6AB"/>
  <w15:chartTrackingRefBased/>
  <w15:docId w15:val="{7C016BEB-7385-4874-9CAF-C128F704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Cole</dc:creator>
  <cp:keywords/>
  <dc:description/>
  <cp:lastModifiedBy>Calvin Carthan</cp:lastModifiedBy>
  <cp:revision>2</cp:revision>
  <dcterms:created xsi:type="dcterms:W3CDTF">2022-06-17T13:15:00Z</dcterms:created>
  <dcterms:modified xsi:type="dcterms:W3CDTF">2022-06-17T13:15:00Z</dcterms:modified>
</cp:coreProperties>
</file>